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黑体" w:hAnsi="宋体" w:eastAsia="黑体"/>
          <w:b/>
          <w:sz w:val="44"/>
          <w:szCs w:val="44"/>
        </w:rPr>
      </w:pPr>
    </w:p>
    <w:p>
      <w:pPr>
        <w:pStyle w:val="7"/>
        <w:adjustRightInd w:val="0"/>
        <w:snapToGrid w:val="0"/>
        <w:spacing w:line="560" w:lineRule="exact"/>
      </w:pPr>
    </w:p>
    <w:p>
      <w:pPr>
        <w:adjustRightInd w:val="0"/>
        <w:snapToGrid w:val="0"/>
        <w:spacing w:line="700" w:lineRule="exact"/>
        <w:jc w:val="center"/>
        <w:rPr>
          <w:rFonts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广西林业集团有限公司</w:t>
      </w:r>
    </w:p>
    <w:p>
      <w:pPr>
        <w:adjustRightInd w:val="0"/>
        <w:snapToGrid w:val="0"/>
        <w:spacing w:line="700" w:lineRule="exact"/>
        <w:jc w:val="center"/>
        <w:rPr>
          <w:rFonts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公开选聘中药材产业发展“十四五”规划</w:t>
      </w:r>
    </w:p>
    <w:p>
      <w:pPr>
        <w:adjustRightInd w:val="0"/>
        <w:snapToGrid w:val="0"/>
        <w:spacing w:line="700" w:lineRule="exact"/>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b/>
          <w:sz w:val="44"/>
          <w:szCs w:val="44"/>
        </w:rPr>
        <w:t>中介服务机构询价文件</w:t>
      </w:r>
    </w:p>
    <w:p>
      <w:pPr>
        <w:adjustRightInd w:val="0"/>
        <w:snapToGrid w:val="0"/>
        <w:spacing w:line="560" w:lineRule="exact"/>
        <w:rPr>
          <w:rFonts w:ascii="仿宋_GB2312" w:hAnsi="Calibri" w:eastAsia="仿宋_GB2312"/>
          <w:sz w:val="32"/>
          <w:szCs w:val="32"/>
        </w:rPr>
      </w:pPr>
    </w:p>
    <w:p>
      <w:pPr>
        <w:adjustRightInd w:val="0"/>
        <w:snapToGrid w:val="0"/>
        <w:spacing w:line="560" w:lineRule="exact"/>
        <w:rPr>
          <w:rFonts w:ascii="仿宋_GB2312" w:hAnsi="Calibri" w:eastAsia="仿宋_GB2312"/>
          <w:sz w:val="32"/>
          <w:szCs w:val="32"/>
        </w:rPr>
      </w:pPr>
    </w:p>
    <w:p>
      <w:pPr>
        <w:adjustRightInd w:val="0"/>
        <w:snapToGrid w:val="0"/>
        <w:spacing w:line="560" w:lineRule="exact"/>
        <w:rPr>
          <w:rFonts w:ascii="仿宋_GB2312" w:hAnsi="Calibri" w:eastAsia="仿宋_GB2312"/>
          <w:sz w:val="32"/>
          <w:szCs w:val="32"/>
        </w:rPr>
      </w:pPr>
    </w:p>
    <w:p>
      <w:pPr>
        <w:adjustRightInd w:val="0"/>
        <w:snapToGrid w:val="0"/>
        <w:spacing w:line="560" w:lineRule="exact"/>
        <w:rPr>
          <w:rFonts w:ascii="仿宋_GB2312" w:hAnsi="Calibri" w:eastAsia="仿宋_GB2312"/>
          <w:sz w:val="32"/>
          <w:szCs w:val="32"/>
        </w:rPr>
      </w:pPr>
    </w:p>
    <w:p>
      <w:pPr>
        <w:pStyle w:val="7"/>
      </w:pPr>
    </w:p>
    <w:p>
      <w:pPr>
        <w:adjustRightInd w:val="0"/>
        <w:snapToGrid w:val="0"/>
        <w:spacing w:line="560" w:lineRule="exact"/>
        <w:rPr>
          <w:rFonts w:ascii="仿宋_GB2312" w:hAnsi="Calibri" w:eastAsia="仿宋_GB2312"/>
          <w:sz w:val="32"/>
          <w:szCs w:val="32"/>
        </w:rPr>
      </w:pPr>
    </w:p>
    <w:p>
      <w:pPr>
        <w:adjustRightInd w:val="0"/>
        <w:snapToGrid w:val="0"/>
        <w:spacing w:line="560" w:lineRule="exact"/>
        <w:rPr>
          <w:rFonts w:ascii="仿宋_GB2312" w:hAnsi="Calibri" w:eastAsia="仿宋_GB2312"/>
          <w:sz w:val="32"/>
          <w:szCs w:val="32"/>
        </w:rPr>
      </w:pP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采购单位：</w:t>
      </w:r>
      <w:r>
        <w:rPr>
          <w:rFonts w:hint="eastAsia" w:ascii="仿宋_GB2312" w:hAnsi="宋体" w:eastAsia="仿宋_GB2312"/>
          <w:sz w:val="32"/>
          <w:szCs w:val="32"/>
          <w:u w:val="single"/>
        </w:rPr>
        <w:t xml:space="preserve">广西林业集团有限公司                 </w:t>
      </w:r>
    </w:p>
    <w:p>
      <w:pPr>
        <w:adjustRightInd w:val="0"/>
        <w:snapToGrid w:val="0"/>
        <w:spacing w:line="560" w:lineRule="exact"/>
        <w:ind w:left="2230" w:leftChars="300" w:hanging="1600" w:hangingChars="500"/>
        <w:rPr>
          <w:rFonts w:ascii="仿宋_GB2312" w:hAnsi="宋体" w:eastAsia="仿宋_GB2312"/>
          <w:sz w:val="32"/>
          <w:szCs w:val="32"/>
          <w:u w:val="single"/>
        </w:rPr>
      </w:pPr>
      <w:r>
        <w:rPr>
          <w:rFonts w:hint="eastAsia" w:ascii="仿宋_GB2312" w:hAnsi="宋体" w:eastAsia="仿宋_GB2312"/>
          <w:sz w:val="32"/>
          <w:szCs w:val="32"/>
        </w:rPr>
        <w:t>采购项目:</w:t>
      </w:r>
      <w:r>
        <w:rPr>
          <w:rFonts w:hint="eastAsia" w:ascii="仿宋_GB2312" w:hAnsi="宋体" w:eastAsia="仿宋_GB2312"/>
          <w:sz w:val="32"/>
          <w:szCs w:val="32"/>
        </w:rPr>
        <w:tab/>
      </w:r>
      <w:r>
        <w:rPr>
          <w:rFonts w:hint="eastAsia" w:ascii="仿宋_GB2312" w:hAnsi="宋体" w:eastAsia="仿宋_GB2312"/>
          <w:sz w:val="32"/>
          <w:szCs w:val="32"/>
          <w:u w:val="single"/>
        </w:rPr>
        <w:t xml:space="preserve">广西林业集团中药材产业发展“十四五”规划  </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采购方式：</w:t>
      </w:r>
      <w:r>
        <w:rPr>
          <w:rFonts w:hint="eastAsia" w:ascii="仿宋_GB2312" w:hAnsi="宋体" w:eastAsia="仿宋_GB2312"/>
          <w:sz w:val="32"/>
          <w:szCs w:val="32"/>
          <w:u w:val="single"/>
        </w:rPr>
        <w:t xml:space="preserve">公开询价比较                          </w:t>
      </w:r>
    </w:p>
    <w:p>
      <w:pPr>
        <w:adjustRightInd w:val="0"/>
        <w:snapToGrid w:val="0"/>
        <w:spacing w:line="560" w:lineRule="exact"/>
        <w:rPr>
          <w:rFonts w:ascii="仿宋_GB2312" w:hAnsi="Calibri" w:eastAsia="仿宋_GB2312"/>
          <w:sz w:val="32"/>
          <w:szCs w:val="32"/>
        </w:rPr>
      </w:pPr>
    </w:p>
    <w:p>
      <w:pPr>
        <w:adjustRightInd w:val="0"/>
        <w:snapToGrid w:val="0"/>
        <w:spacing w:line="560" w:lineRule="exact"/>
        <w:rPr>
          <w:rFonts w:ascii="仿宋_GB2312" w:hAnsi="Calibri" w:eastAsia="仿宋_GB2312"/>
          <w:sz w:val="32"/>
          <w:szCs w:val="32"/>
        </w:rPr>
      </w:pPr>
    </w:p>
    <w:p>
      <w:pPr>
        <w:adjustRightInd w:val="0"/>
        <w:snapToGrid w:val="0"/>
        <w:spacing w:line="560" w:lineRule="exact"/>
        <w:jc w:val="center"/>
        <w:rPr>
          <w:rFonts w:ascii="仿宋_GB2312" w:hAnsi="宋体" w:eastAsia="仿宋_GB2312"/>
          <w:b/>
          <w:sz w:val="32"/>
          <w:szCs w:val="32"/>
        </w:rPr>
      </w:pPr>
      <w:r>
        <w:rPr>
          <w:rFonts w:hint="eastAsia" w:ascii="仿宋_GB2312" w:hAnsi="宋体" w:eastAsia="仿宋_GB2312"/>
          <w:b/>
          <w:sz w:val="32"/>
          <w:szCs w:val="32"/>
        </w:rPr>
        <w:t>广西林业集团有限公司</w:t>
      </w:r>
    </w:p>
    <w:p>
      <w:pPr>
        <w:adjustRightInd w:val="0"/>
        <w:snapToGrid w:val="0"/>
        <w:spacing w:line="560" w:lineRule="exact"/>
        <w:jc w:val="center"/>
        <w:rPr>
          <w:rFonts w:ascii="仿宋_GB2312" w:hAnsi="Calibri" w:eastAsia="仿宋_GB2312"/>
          <w:sz w:val="32"/>
          <w:szCs w:val="32"/>
        </w:rPr>
      </w:pPr>
      <w:r>
        <w:rPr>
          <w:rFonts w:ascii="仿宋_GB2312" w:hAnsi="宋体" w:eastAsia="仿宋_GB2312"/>
          <w:b/>
          <w:sz w:val="32"/>
          <w:szCs w:val="32"/>
        </w:rPr>
        <w:t>20</w:t>
      </w:r>
      <w:r>
        <w:rPr>
          <w:rFonts w:hint="eastAsia" w:ascii="仿宋_GB2312" w:hAnsi="宋体" w:eastAsia="仿宋_GB2312"/>
          <w:b/>
          <w:sz w:val="32"/>
          <w:szCs w:val="32"/>
        </w:rPr>
        <w:t>2</w:t>
      </w:r>
      <w:r>
        <w:rPr>
          <w:rFonts w:hint="eastAsia" w:ascii="仿宋_GB2312" w:hAnsi="宋体" w:eastAsia="仿宋_GB2312"/>
          <w:b/>
          <w:sz w:val="32"/>
          <w:szCs w:val="32"/>
          <w:lang w:val="en-US" w:eastAsia="zh-CN"/>
        </w:rPr>
        <w:t>1</w:t>
      </w:r>
      <w:r>
        <w:rPr>
          <w:rFonts w:hint="eastAsia" w:ascii="仿宋_GB2312" w:hAnsi="宋体" w:eastAsia="仿宋_GB2312"/>
          <w:b/>
          <w:sz w:val="32"/>
          <w:szCs w:val="32"/>
        </w:rPr>
        <w:t>年</w:t>
      </w:r>
      <w:r>
        <w:rPr>
          <w:rFonts w:ascii="仿宋_GB2312" w:hAnsi="宋体" w:eastAsia="仿宋_GB2312"/>
          <w:b/>
          <w:sz w:val="32"/>
          <w:szCs w:val="32"/>
        </w:rPr>
        <w:t>1</w:t>
      </w:r>
      <w:r>
        <w:rPr>
          <w:rFonts w:hint="eastAsia" w:ascii="仿宋_GB2312" w:hAnsi="宋体" w:eastAsia="仿宋_GB2312"/>
          <w:b/>
          <w:sz w:val="32"/>
          <w:szCs w:val="32"/>
        </w:rPr>
        <w:t>月 日</w:t>
      </w:r>
    </w:p>
    <w:p>
      <w:pPr>
        <w:adjustRightInd w:val="0"/>
        <w:snapToGrid w:val="0"/>
        <w:spacing w:line="560" w:lineRule="exact"/>
        <w:rPr>
          <w:rFonts w:ascii="仿宋_GB2312" w:hAnsi="Calibri" w:eastAsia="仿宋_GB2312"/>
          <w:sz w:val="32"/>
          <w:szCs w:val="32"/>
        </w:rPr>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pPr>
    </w:p>
    <w:p>
      <w:pPr>
        <w:adjustRightInd w:val="0"/>
        <w:snapToGrid w:val="0"/>
        <w:spacing w:line="700" w:lineRule="exact"/>
        <w:jc w:val="center"/>
        <w:rPr>
          <w:rFonts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广西林业集团有限公司</w:t>
      </w:r>
    </w:p>
    <w:p>
      <w:pPr>
        <w:adjustRightInd w:val="0"/>
        <w:snapToGrid w:val="0"/>
        <w:spacing w:line="700" w:lineRule="exact"/>
        <w:jc w:val="center"/>
        <w:rPr>
          <w:rFonts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公开选聘中药材产业发展“十四五”规划</w:t>
      </w:r>
    </w:p>
    <w:p>
      <w:pPr>
        <w:adjustRightInd w:val="0"/>
        <w:snapToGrid w:val="0"/>
        <w:spacing w:line="700" w:lineRule="exact"/>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b/>
          <w:sz w:val="44"/>
          <w:szCs w:val="44"/>
        </w:rPr>
        <w:t>中介服务机构询价文件</w:t>
      </w:r>
    </w:p>
    <w:p>
      <w:pPr>
        <w:widowControl/>
        <w:shd w:val="clear" w:color="auto" w:fill="FFFFFF"/>
        <w:adjustRightInd w:val="0"/>
        <w:snapToGrid w:val="0"/>
        <w:spacing w:line="560" w:lineRule="exact"/>
        <w:textAlignment w:val="baseline"/>
        <w:rPr>
          <w:rFonts w:ascii="黑体" w:hAnsi="黑体" w:eastAsia="黑体" w:cs="黑体"/>
          <w:b/>
          <w:kern w:val="0"/>
          <w:sz w:val="32"/>
          <w:szCs w:val="32"/>
          <w:shd w:val="clear" w:color="auto" w:fill="FFFFFF"/>
          <w:lang w:bidi="ar"/>
        </w:rPr>
      </w:pPr>
    </w:p>
    <w:p>
      <w:pPr>
        <w:widowControl/>
        <w:shd w:val="clear" w:color="auto" w:fill="FFFFFF"/>
        <w:adjustRightInd w:val="0"/>
        <w:snapToGrid w:val="0"/>
        <w:spacing w:line="560" w:lineRule="exact"/>
        <w:textAlignment w:val="baseline"/>
        <w:rPr>
          <w:rFonts w:ascii="黑体" w:hAnsi="黑体" w:eastAsia="黑体" w:cs="黑体"/>
          <w:b/>
          <w:kern w:val="0"/>
          <w:sz w:val="32"/>
          <w:szCs w:val="32"/>
          <w:shd w:val="clear" w:color="auto" w:fill="FFFFFF"/>
          <w:lang w:bidi="ar"/>
        </w:rPr>
      </w:pPr>
      <w:r>
        <w:rPr>
          <w:rFonts w:hint="eastAsia" w:ascii="黑体" w:hAnsi="黑体" w:eastAsia="黑体" w:cs="黑体"/>
          <w:b/>
          <w:kern w:val="0"/>
          <w:sz w:val="32"/>
          <w:szCs w:val="32"/>
          <w:shd w:val="clear" w:color="auto" w:fill="FFFFFF"/>
          <w:lang w:bidi="ar"/>
        </w:rPr>
        <w:t>一、概况</w:t>
      </w:r>
    </w:p>
    <w:p>
      <w:pPr>
        <w:widowControl/>
        <w:shd w:val="clear" w:color="auto" w:fill="FFFFFF"/>
        <w:adjustRightInd w:val="0"/>
        <w:snapToGrid w:val="0"/>
        <w:spacing w:line="560" w:lineRule="exact"/>
        <w:textAlignment w:val="baseline"/>
        <w:rPr>
          <w:rFonts w:ascii="楷体_GB2312" w:hAnsi="楷体_GB2312" w:eastAsia="楷体_GB2312" w:cs="楷体_GB2312"/>
          <w:sz w:val="32"/>
          <w:szCs w:val="32"/>
          <w:shd w:val="clear" w:color="auto" w:fill="FFFFFF"/>
        </w:rPr>
      </w:pPr>
      <w:r>
        <w:rPr>
          <w:rFonts w:hint="eastAsia" w:ascii="楷体_GB2312" w:hAnsi="楷体_GB2312" w:eastAsia="楷体_GB2312" w:cs="楷体_GB2312"/>
          <w:sz w:val="32"/>
          <w:szCs w:val="32"/>
          <w:shd w:val="clear" w:color="auto" w:fill="FFFFFF"/>
        </w:rPr>
        <w:t>（一）项目名称</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《广西林业集团中药材产业发展“十四五”规划》</w:t>
      </w:r>
    </w:p>
    <w:p>
      <w:pPr>
        <w:widowControl/>
        <w:shd w:val="clear" w:color="auto" w:fill="FFFFFF"/>
        <w:adjustRightInd w:val="0"/>
        <w:snapToGrid w:val="0"/>
        <w:spacing w:line="560" w:lineRule="exact"/>
        <w:textAlignment w:val="baseline"/>
        <w:rPr>
          <w:rFonts w:ascii="楷体_GB2312" w:hAnsi="楷体_GB2312" w:eastAsia="楷体_GB2312" w:cs="楷体_GB2312"/>
          <w:sz w:val="32"/>
          <w:szCs w:val="32"/>
          <w:shd w:val="clear" w:color="auto" w:fill="FFFFFF"/>
        </w:rPr>
      </w:pPr>
      <w:r>
        <w:rPr>
          <w:rFonts w:hint="eastAsia" w:ascii="楷体_GB2312" w:hAnsi="楷体_GB2312" w:eastAsia="楷体_GB2312" w:cs="楷体_GB2312"/>
          <w:sz w:val="32"/>
          <w:szCs w:val="32"/>
          <w:shd w:val="clear" w:color="auto" w:fill="FFFFFF"/>
        </w:rPr>
        <w:t>（二）项目需求及技术要求内容</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1.项目概况</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宋体" w:eastAsia="仿宋_GB2312"/>
          <w:sz w:val="32"/>
          <w:szCs w:val="32"/>
        </w:rPr>
        <w:t>全面总结全国及广西中药材产业发展现状，存在问题</w:t>
      </w:r>
      <w:r>
        <w:rPr>
          <w:rFonts w:hint="eastAsia" w:ascii="仿宋_GB2312" w:hAnsi="仿宋_GB2312" w:eastAsia="仿宋_GB2312" w:cs="仿宋_GB2312"/>
          <w:sz w:val="32"/>
          <w:szCs w:val="32"/>
          <w:shd w:val="clear" w:color="auto" w:fill="FFFFFF"/>
        </w:rPr>
        <w:t>。分析广西中药材产业面</w:t>
      </w:r>
      <w:bookmarkStart w:id="0" w:name="_GoBack"/>
      <w:bookmarkEnd w:id="0"/>
      <w:r>
        <w:rPr>
          <w:rFonts w:hint="eastAsia" w:ascii="仿宋_GB2312" w:hAnsi="仿宋_GB2312" w:eastAsia="仿宋_GB2312" w:cs="仿宋_GB2312"/>
          <w:sz w:val="32"/>
          <w:szCs w:val="32"/>
          <w:shd w:val="clear" w:color="auto" w:fill="FFFFFF"/>
        </w:rPr>
        <w:t>临的发展环境和发展优势，结合广西林业集团有限公司“以下简称集团”发展现状，提出集团中药材产业发展的总体思路、发展目标、产业布局、发展模式、重点产品、重点任务和发展举措，为集团“十四五”期间推进中药材产业发展做好顶层设计和前瞻布局研究。</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2.基本原则</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坚持习近平新时代中国特色社会主义思想为指导，围绕全面落实“三大定位”新使命、持续营造“三大生态”、加快实现“两个建成”、扎实推进富民兴桂，奋力谱写新时代广西发展新篇章，抓住事关广西中药材产业发展的重大领域，创新研究机制，优化资源配置，动员和吸收社会研究力量，联合攻关，切实提高产业发展决策咨询研究的质量和水平，为广西林业集团围绕“强龙头、补链条、聚集群”的发展思路，助推全区中药材产业发展提供良好科学的决策咨询服务，为不断推动广西中药材产业发展做出贡献。</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3.工作要求</w:t>
      </w:r>
    </w:p>
    <w:p>
      <w:pPr>
        <w:widowControl/>
        <w:adjustRightInd w:val="0"/>
        <w:snapToGrid w:val="0"/>
        <w:spacing w:line="560" w:lineRule="exact"/>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1）广西林业集团中药材产业发展“十四五”规划中标课题组或编制单位应按约定的要求组织和开展调查研究。要深入广西区内外开展调研，定期或不定期地向采购人报告研究进展情况，要在提交研究成果的同时，提供主笔、参与写作人员名单，并注明参与合作的人员各自负责撰写的内容和字数。</w:t>
      </w:r>
    </w:p>
    <w:p>
      <w:pPr>
        <w:widowControl/>
        <w:adjustRightInd w:val="0"/>
        <w:snapToGrid w:val="0"/>
        <w:spacing w:line="560" w:lineRule="exact"/>
        <w:ind w:firstLine="64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（2）编制工作不能进行转包和分包，采购人有权监督课题研究开展工作，并维护采购人的合法权益。</w:t>
      </w:r>
    </w:p>
    <w:p>
      <w:pPr>
        <w:widowControl/>
        <w:adjustRightInd w:val="0"/>
        <w:snapToGrid w:val="0"/>
        <w:spacing w:line="560" w:lineRule="exact"/>
        <w:ind w:firstLine="64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（3）按合同约定的时间向采购人提交成果。研究成果归采购人所有，不能做其他用途。</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4.成果验收</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（1）项目编制任务完成后，由采购人组织专家对课题研究成果进行评审验收。</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（2）由采购人按照验收大纲的要求进行评审验收。编制单位必须根据评审专家提出的意见建议进行进一步修改完善，然后报采购人审查确定。</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（3）编制成果通过广西林业集团审查验收后，编制单位须提交如下材料：</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①按照专家意见修改后的项目成果报告纸质版10份和电子版；</w:t>
      </w:r>
    </w:p>
    <w:p>
      <w:pPr>
        <w:widowControl/>
        <w:adjustRightInd w:val="0"/>
        <w:snapToGrid w:val="0"/>
        <w:spacing w:line="560" w:lineRule="exact"/>
        <w:ind w:firstLine="640" w:firstLineChars="200"/>
        <w:textAlignment w:val="baseline"/>
      </w:pPr>
      <w:r>
        <w:rPr>
          <w:rFonts w:hint="eastAsia" w:ascii="仿宋_GB2312" w:hAnsi="仿宋_GB2312" w:eastAsia="仿宋_GB2312" w:cs="仿宋_GB2312"/>
          <w:sz w:val="32"/>
          <w:szCs w:val="32"/>
          <w:shd w:val="clear" w:color="auto" w:fill="FFFFFF"/>
        </w:rPr>
        <w:t>②项目编制工作报告。内容包括：成果名称、项目负责人、起止编制时间、编制组主要成员及各成员工作分工、编制主要过程调研情况、数据来源情况、成果主要内容及特点、主要应用方式等。</w:t>
      </w:r>
    </w:p>
    <w:p>
      <w:pPr>
        <w:widowControl/>
        <w:numPr>
          <w:ilvl w:val="0"/>
          <w:numId w:val="1"/>
        </w:numPr>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采购人于鉴定验收前三天将项目成果的有关材料送达评委，供其审阅并写出个人的成果鉴定书面意见。</w:t>
      </w:r>
    </w:p>
    <w:p>
      <w:pPr>
        <w:widowControl/>
        <w:numPr>
          <w:ilvl w:val="0"/>
          <w:numId w:val="1"/>
        </w:numPr>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评审验收的标准与内容</w:t>
      </w:r>
    </w:p>
    <w:p>
      <w:pPr>
        <w:pStyle w:val="19"/>
        <w:widowControl/>
        <w:numPr>
          <w:ilvl w:val="0"/>
          <w:numId w:val="2"/>
        </w:numPr>
        <w:adjustRightInd w:val="0"/>
        <w:snapToGrid w:val="0"/>
        <w:spacing w:line="560" w:lineRule="exact"/>
        <w:ind w:left="0" w:firstLine="640"/>
        <w:jc w:val="left"/>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项目成果的总体框架是否完整，总体思路是否正确，目标是否明确，具体举措是否具有可操作性。</w:t>
      </w:r>
    </w:p>
    <w:p>
      <w:pPr>
        <w:pStyle w:val="19"/>
        <w:widowControl/>
        <w:numPr>
          <w:ilvl w:val="0"/>
          <w:numId w:val="2"/>
        </w:numPr>
        <w:adjustRightInd w:val="0"/>
        <w:snapToGrid w:val="0"/>
        <w:spacing w:line="560" w:lineRule="exact"/>
        <w:ind w:left="0" w:firstLine="640"/>
        <w:jc w:val="left"/>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项目成果所使用的资料、数据是否准确、完整、详实、可信，论证的方法是否可靠，推算结论是否具有实践的检验性。</w:t>
      </w:r>
    </w:p>
    <w:p>
      <w:pPr>
        <w:pStyle w:val="19"/>
        <w:widowControl/>
        <w:numPr>
          <w:ilvl w:val="0"/>
          <w:numId w:val="2"/>
        </w:numPr>
        <w:adjustRightInd w:val="0"/>
        <w:snapToGrid w:val="0"/>
        <w:spacing w:line="560" w:lineRule="exact"/>
        <w:ind w:left="0" w:firstLine="640"/>
        <w:jc w:val="left"/>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项目成果涉及的典型案例对广西及林业集团相关产业发展是否具有借鉴意义。</w:t>
      </w:r>
    </w:p>
    <w:p>
      <w:pPr>
        <w:pStyle w:val="19"/>
        <w:widowControl/>
        <w:numPr>
          <w:ilvl w:val="0"/>
          <w:numId w:val="2"/>
        </w:numPr>
        <w:adjustRightInd w:val="0"/>
        <w:snapToGrid w:val="0"/>
        <w:spacing w:line="560" w:lineRule="exact"/>
        <w:ind w:left="0" w:firstLine="640"/>
        <w:jc w:val="left"/>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项目成果有无理论高度、实践意义，观点是否正确，论据是否充分，在理论和实践上有何创新，填补了哪些方面研究的空白，对策或政策建议是否具有可操作性，可以预期的经济效益、社会效益和理论价值、实践价值如何。成果对标国内相关产业发展先进地区、优秀企业的成功案例对广西及林业集团相关产业发展是否具有指导意义。</w:t>
      </w:r>
    </w:p>
    <w:p>
      <w:pPr>
        <w:pStyle w:val="19"/>
        <w:widowControl/>
        <w:numPr>
          <w:ilvl w:val="0"/>
          <w:numId w:val="2"/>
        </w:numPr>
        <w:adjustRightInd w:val="0"/>
        <w:snapToGrid w:val="0"/>
        <w:spacing w:line="560" w:lineRule="exact"/>
        <w:ind w:left="0" w:firstLine="640"/>
        <w:jc w:val="left"/>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项目成果尚存在哪些问题与不足，需要对哪些方面进行补充、修改和完善。</w:t>
      </w:r>
    </w:p>
    <w:p>
      <w:pPr>
        <w:pStyle w:val="19"/>
        <w:widowControl/>
        <w:adjustRightInd w:val="0"/>
        <w:snapToGrid w:val="0"/>
        <w:spacing w:line="560" w:lineRule="exact"/>
        <w:ind w:left="640" w:firstLine="0" w:firstLineChars="0"/>
        <w:jc w:val="left"/>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⑥成果是否通过专业鉴定，达到何种水平。</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6）经验收未达到合同规定要求的成果，编制组组必须根据评审验收委员会的意见和建议，在规定的时间内进行修改、补充和完善。重新验收仍不合格的按合同违约条款终止合同，已拨付的编制经费须如数退回采购人。</w:t>
      </w:r>
    </w:p>
    <w:p>
      <w:pPr>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（7）因不可抗力原因需要延期验收的，编制组须向采购人提出书面申请。经批准后在一定期限内仍无法完成研究任务的，应提前报告采购人并办理终止合同手续。</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5.成果应用</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经验收合格后的课题研究成果，根据《中华人民共和国著作权法》相关规定，除署名权以外的著作权属于广西林业集团“十四五”规划编制和重点课题研究领导小组办公室。未经批准，任何组织和个人不得引用、转载、扩散及公开发表。</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（2）项目成果的应用途径：</w:t>
      </w:r>
    </w:p>
    <w:p>
      <w:pPr>
        <w:widowControl/>
        <w:adjustRightInd w:val="0"/>
        <w:snapToGrid w:val="0"/>
        <w:spacing w:line="560" w:lineRule="exact"/>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①以项目成果为基础，形成广西林业集团“十四五”规划或相关的决定、意见、办法、规定、通知、实施方案等文件；</w:t>
      </w:r>
    </w:p>
    <w:p>
      <w:pPr>
        <w:widowControl/>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②作为广西林业集团有限公司有关会议文件、领导讲话和文章等文稿写作的参考材料；</w:t>
      </w:r>
    </w:p>
    <w:p>
      <w:pPr>
        <w:pStyle w:val="7"/>
        <w:adjustRightInd w:val="0"/>
        <w:snapToGrid w:val="0"/>
        <w:spacing w:line="560" w:lineRule="exact"/>
        <w:ind w:left="0" w:leftChars="0"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③广西林业集团有限公司呈报自治区党委、自治区人民政府、自治区国资委及有关领导作决策或工作参考。</w:t>
      </w:r>
    </w:p>
    <w:p>
      <w:pPr>
        <w:widowControl/>
        <w:shd w:val="clear" w:color="auto" w:fill="FFFFFF"/>
        <w:adjustRightInd w:val="0"/>
        <w:snapToGrid w:val="0"/>
        <w:spacing w:line="560" w:lineRule="exact"/>
        <w:ind w:firstLine="643" w:firstLineChars="200"/>
        <w:textAlignment w:val="baseline"/>
        <w:rPr>
          <w:rFonts w:ascii="黑体" w:hAnsi="黑体" w:eastAsia="黑体" w:cs="黑体"/>
          <w:b/>
          <w:kern w:val="0"/>
          <w:sz w:val="32"/>
          <w:szCs w:val="32"/>
          <w:shd w:val="clear" w:color="auto" w:fill="FFFFFF"/>
          <w:lang w:bidi="ar"/>
        </w:rPr>
      </w:pPr>
      <w:r>
        <w:rPr>
          <w:rFonts w:hint="eastAsia" w:ascii="黑体" w:hAnsi="黑体" w:eastAsia="黑体" w:cs="黑体"/>
          <w:b/>
          <w:kern w:val="0"/>
          <w:sz w:val="32"/>
          <w:szCs w:val="32"/>
          <w:shd w:val="clear" w:color="auto" w:fill="FFFFFF"/>
          <w:lang w:bidi="ar"/>
        </w:rPr>
        <w:t>二、询价比较流程</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询价小组公开发布询价需求信息，有意向参与报价人均可在规定时间内报送报价文件。询价小组根据各报价文件（包括报价、工作方案、资质经验、企业综合实力、业绩）等进行综合评分，报价人的最终得分为所有询价小组评分的算数平均值，取所有评委评分总和的平均分，分数最高者为建议中标单位，如遇分数一样，则依次按报价低优先、工期得分高优先，项目相似经验得分高优先、企业综合实力得分高优先，依照次序确定成交人，询价小组根据综合得分情况提出初步建议，并报集团领导审批最终确定，并将结果公示和电话告知各参与评分中介机构。</w:t>
      </w:r>
    </w:p>
    <w:p>
      <w:pPr>
        <w:widowControl/>
        <w:shd w:val="clear" w:color="auto" w:fill="FFFFFF"/>
        <w:adjustRightInd w:val="0"/>
        <w:snapToGrid w:val="0"/>
        <w:spacing w:line="560" w:lineRule="exact"/>
        <w:ind w:firstLine="643" w:firstLineChars="200"/>
        <w:textAlignment w:val="baseline"/>
        <w:rPr>
          <w:rFonts w:ascii="黑体" w:hAnsi="黑体" w:eastAsia="黑体" w:cs="黑体"/>
          <w:b/>
          <w:kern w:val="0"/>
          <w:sz w:val="32"/>
          <w:szCs w:val="32"/>
          <w:shd w:val="clear" w:color="auto" w:fill="FFFFFF"/>
          <w:lang w:bidi="ar"/>
        </w:rPr>
      </w:pPr>
      <w:r>
        <w:rPr>
          <w:rFonts w:hint="eastAsia" w:ascii="黑体" w:hAnsi="黑体" w:eastAsia="黑体" w:cs="黑体"/>
          <w:b/>
          <w:kern w:val="0"/>
          <w:sz w:val="32"/>
          <w:szCs w:val="32"/>
          <w:shd w:val="clear" w:color="auto" w:fill="FFFFFF"/>
          <w:lang w:bidi="ar"/>
        </w:rPr>
        <w:t>三、报价人须知</w:t>
      </w:r>
    </w:p>
    <w:p>
      <w:pPr>
        <w:widowControl/>
        <w:shd w:val="clear" w:color="auto" w:fill="FFFFFF"/>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宋体" w:eastAsia="仿宋_GB2312"/>
          <w:sz w:val="32"/>
          <w:szCs w:val="32"/>
        </w:rPr>
        <w:t>（一）报价人必须经国家相关行政管理部门登记注册，具有独立的法人资格或其他组织，具有独立承担民事责任能力，财务</w:t>
      </w:r>
      <w:r>
        <w:rPr>
          <w:rFonts w:hint="eastAsia" w:ascii="仿宋_GB2312" w:hAnsi="仿宋_GB2312" w:eastAsia="仿宋_GB2312" w:cs="仿宋_GB2312"/>
          <w:sz w:val="32"/>
          <w:szCs w:val="32"/>
          <w:shd w:val="clear" w:color="auto" w:fill="FFFFFF"/>
        </w:rPr>
        <w:t>状况良好，没有处于被责令停业，财产被接管、冻结，破产等状态。</w:t>
      </w:r>
    </w:p>
    <w:p>
      <w:pPr>
        <w:widowControl/>
        <w:shd w:val="clear" w:color="auto" w:fill="FFFFFF"/>
        <w:adjustRightInd w:val="0"/>
        <w:snapToGrid w:val="0"/>
        <w:spacing w:line="560" w:lineRule="exact"/>
        <w:ind w:firstLine="640" w:firstLineChars="200"/>
        <w:textAlignment w:val="baseline"/>
        <w:rPr>
          <w:rFonts w:ascii="仿宋_GB2312" w:hAnsi="仿宋_GB2312" w:eastAsia="仿宋_GB2312" w:cs="仿宋_GB2312"/>
          <w:sz w:val="32"/>
          <w:szCs w:val="32"/>
          <w:shd w:val="clear" w:color="auto" w:fill="FFFFFF"/>
        </w:rPr>
      </w:pPr>
      <w:r>
        <w:rPr>
          <w:rFonts w:hint="eastAsia" w:ascii="仿宋_GB2312" w:hAnsi="宋体" w:eastAsia="仿宋_GB2312"/>
          <w:sz w:val="32"/>
          <w:szCs w:val="32"/>
        </w:rPr>
        <w:t>（二）</w:t>
      </w:r>
      <w:r>
        <w:rPr>
          <w:rFonts w:hint="eastAsia" w:ascii="仿宋_GB2312" w:hAnsi="仿宋_GB2312" w:eastAsia="仿宋_GB2312" w:cs="仿宋_GB2312"/>
          <w:sz w:val="32"/>
          <w:szCs w:val="32"/>
          <w:shd w:val="clear" w:color="auto" w:fill="FFFFFF"/>
        </w:rPr>
        <w:t>本次询价不接受联合体报价。</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仿宋_GB2312" w:eastAsia="仿宋_GB2312" w:cs="仿宋_GB2312"/>
          <w:sz w:val="32"/>
          <w:szCs w:val="32"/>
          <w:shd w:val="clear" w:color="auto" w:fill="FFFFFF"/>
        </w:rPr>
        <w:t>（三）</w:t>
      </w:r>
      <w:r>
        <w:rPr>
          <w:rFonts w:hint="eastAsia" w:ascii="仿宋_GB2312" w:hAnsi="宋体" w:eastAsia="仿宋_GB2312"/>
          <w:sz w:val="32"/>
          <w:szCs w:val="32"/>
        </w:rPr>
        <w:t>本项目采取公开选聘方式、询价比较法选聘中介机构。</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（四）报价人须按照报价文件要求进行报价，本次项目报价不得超过</w:t>
      </w:r>
      <w:r>
        <w:rPr>
          <w:rFonts w:ascii="仿宋_GB2312" w:hAnsi="宋体" w:eastAsia="仿宋_GB2312"/>
          <w:sz w:val="32"/>
          <w:szCs w:val="32"/>
        </w:rPr>
        <w:t>2</w:t>
      </w:r>
      <w:r>
        <w:rPr>
          <w:rFonts w:hint="eastAsia" w:ascii="仿宋_GB2312" w:hAnsi="宋体" w:eastAsia="仿宋_GB2312"/>
          <w:sz w:val="32"/>
          <w:szCs w:val="32"/>
        </w:rPr>
        <w:t>0万元。超过</w:t>
      </w:r>
      <w:r>
        <w:rPr>
          <w:rFonts w:ascii="仿宋_GB2312" w:hAnsi="宋体" w:eastAsia="仿宋_GB2312"/>
          <w:sz w:val="32"/>
          <w:szCs w:val="32"/>
        </w:rPr>
        <w:t>2</w:t>
      </w:r>
      <w:r>
        <w:rPr>
          <w:rFonts w:hint="eastAsia" w:ascii="仿宋_GB2312" w:hAnsi="宋体" w:eastAsia="仿宋_GB2312"/>
          <w:sz w:val="32"/>
          <w:szCs w:val="32"/>
        </w:rPr>
        <w:t>0万元的报价文件为无效报价文件。合同履行过程中，采购人不再支付经费以外的任何费用。报价人应自行承担所有报价过程中产生的全部有关费用。</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（五）</w:t>
      </w:r>
      <w:r>
        <w:rPr>
          <w:rFonts w:hint="eastAsia" w:ascii="仿宋_GB2312" w:hAnsi="宋体" w:eastAsia="仿宋_GB2312"/>
          <w:b/>
          <w:bCs/>
          <w:sz w:val="32"/>
          <w:szCs w:val="32"/>
        </w:rPr>
        <w:t>报价文件一式叁份，</w:t>
      </w:r>
      <w:r>
        <w:rPr>
          <w:rFonts w:hint="eastAsia" w:ascii="仿宋_GB2312" w:hAnsi="宋体" w:eastAsia="仿宋_GB2312"/>
          <w:sz w:val="32"/>
          <w:szCs w:val="32"/>
        </w:rPr>
        <w:t>报价材料应加盖单位公章骑缝章，报价文件封面应加盖单位公章和法定代表人签字或盖章，密封递交或邮递纸质版报价文件，并在封口处盖单位公章。</w:t>
      </w:r>
    </w:p>
    <w:p>
      <w:pPr>
        <w:pStyle w:val="17"/>
        <w:adjustRightInd w:val="0"/>
        <w:snapToGrid w:val="0"/>
        <w:ind w:firstLine="640"/>
        <w:rPr>
          <w:rFonts w:hAnsi="宋体" w:eastAsia="仿宋_GB2312"/>
          <w:szCs w:val="32"/>
        </w:rPr>
      </w:pPr>
      <w:r>
        <w:rPr>
          <w:rFonts w:hint="eastAsia" w:hAnsi="宋体" w:eastAsia="仿宋_GB2312"/>
          <w:szCs w:val="32"/>
        </w:rPr>
        <w:t>（六）报价人应按公示要求时间内现场递交或邮递报价文件，截止时间，</w:t>
      </w:r>
      <w:r>
        <w:rPr>
          <w:rFonts w:hint="eastAsia" w:hAnsi="仿宋_GB2312" w:eastAsia="仿宋_GB2312" w:cs="仿宋_GB2312"/>
          <w:szCs w:val="32"/>
        </w:rPr>
        <w:t>逾期送达的或者未送达指定地点的报价文件，将不予以受理。</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（七）报价人不得互相串通或者与采购人串通报价，不得向采购人或者询价小组成员行贿谋取成交；报价人不得以任何方式干扰、影响评审工作。</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（八）解释权。解释权属本次采购项目询价比较工作小组。</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（九）报价文件的修改和撤销</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1.递交报价文件截止时间之前，报价人可以书面通知对其报价文件进行修改或撤销，该通知须有投标方法定代表人或法定代表授权人签字。凭书面通知方可替换更新后的报价文件。</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2.递交报价文件截止时间以后，报价人不得再修改报价文件。</w:t>
      </w:r>
    </w:p>
    <w:p>
      <w:pPr>
        <w:adjustRightInd w:val="0"/>
        <w:snapToGrid w:val="0"/>
        <w:spacing w:line="560" w:lineRule="exact"/>
        <w:ind w:firstLine="640" w:firstLineChars="200"/>
        <w:rPr>
          <w:rFonts w:ascii="仿宋_GB2312" w:hAnsi="宋体" w:eastAsia="仿宋_GB2312"/>
          <w:b/>
          <w:bCs/>
          <w:sz w:val="32"/>
          <w:szCs w:val="32"/>
        </w:rPr>
      </w:pPr>
      <w:r>
        <w:rPr>
          <w:rFonts w:hint="eastAsia" w:ascii="仿宋_GB2312" w:hAnsi="宋体" w:eastAsia="仿宋_GB2312"/>
          <w:sz w:val="32"/>
          <w:szCs w:val="32"/>
        </w:rPr>
        <w:t>（十）</w:t>
      </w:r>
      <w:r>
        <w:rPr>
          <w:rFonts w:hint="eastAsia" w:ascii="仿宋_GB2312" w:hAnsi="宋体" w:eastAsia="仿宋_GB2312"/>
          <w:b/>
          <w:bCs/>
          <w:sz w:val="32"/>
          <w:szCs w:val="32"/>
        </w:rPr>
        <w:t>本次项目验收评审专家费由中标报价人承担。</w:t>
      </w:r>
    </w:p>
    <w:p>
      <w:pPr>
        <w:adjustRightInd w:val="0"/>
        <w:snapToGrid w:val="0"/>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宋体" w:eastAsia="仿宋_GB2312"/>
          <w:sz w:val="32"/>
          <w:szCs w:val="32"/>
        </w:rPr>
        <w:t>（十一）为确保服务质量，并在时限内完成项目需求进度要求</w:t>
      </w:r>
      <w:r>
        <w:rPr>
          <w:rFonts w:hint="eastAsia" w:ascii="仿宋_GB2312" w:hAnsi="仿宋_GB2312" w:eastAsia="仿宋_GB2312" w:cs="仿宋_GB2312"/>
          <w:sz w:val="32"/>
          <w:szCs w:val="32"/>
          <w:shd w:val="clear" w:color="auto" w:fill="FFFFFF"/>
        </w:rPr>
        <w:t>。</w:t>
      </w:r>
    </w:p>
    <w:p>
      <w:pPr>
        <w:pStyle w:val="2"/>
        <w:adjustRightInd w:val="0"/>
        <w:snapToGrid w:val="0"/>
        <w:spacing w:line="560" w:lineRule="exact"/>
        <w:ind w:firstLine="640" w:firstLineChars="200"/>
        <w:rPr>
          <w:b/>
          <w:bCs/>
        </w:rPr>
      </w:pPr>
      <w:r>
        <w:rPr>
          <w:rFonts w:hint="eastAsia" w:ascii="仿宋_GB2312" w:hAnsi="宋体" w:eastAsia="仿宋_GB2312"/>
          <w:sz w:val="32"/>
          <w:szCs w:val="32"/>
        </w:rPr>
        <w:t>（十一）</w:t>
      </w:r>
      <w:r>
        <w:rPr>
          <w:rFonts w:hint="eastAsia" w:ascii="仿宋_GB2312" w:hAnsi="宋体" w:eastAsia="仿宋_GB2312"/>
          <w:b/>
          <w:bCs/>
          <w:sz w:val="32"/>
          <w:szCs w:val="32"/>
        </w:rPr>
        <w:t>课题负责人必须为有相关经验的副高以上职称的在职人员。</w:t>
      </w:r>
    </w:p>
    <w:p>
      <w:pPr>
        <w:adjustRightInd w:val="0"/>
        <w:snapToGrid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（十二）本次评审商务分为30分，技术分为70分。</w:t>
      </w:r>
    </w:p>
    <w:sectPr>
      <w:footerReference r:id="rId5" w:type="default"/>
      <w:footerReference r:id="rId6" w:type="even"/>
      <w:pgSz w:w="11910" w:h="16850"/>
      <w:pgMar w:top="2098" w:right="1474" w:bottom="1985" w:left="1588" w:header="1191" w:footer="1191"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heme="minorEastAsia" w:hAnsiTheme="minorEastAsia" w:eastAsiaTheme="minorEastAsia"/>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5258529"/>
    </w:sdtPr>
    <w:sdtEndPr>
      <w:rPr>
        <w:rFonts w:asciiTheme="minorEastAsia" w:hAnsiTheme="minorEastAsia" w:eastAsiaTheme="minorEastAsia"/>
        <w:sz w:val="24"/>
        <w:szCs w:val="24"/>
      </w:rPr>
    </w:sdtEndPr>
    <w:sdtContent>
      <w:p>
        <w:pPr>
          <w:pStyle w:val="5"/>
          <w:rPr>
            <w:rFonts w:asciiTheme="minorEastAsia" w:hAnsiTheme="minorEastAsia" w:eastAsiaTheme="minorEastAsia"/>
            <w:sz w:val="24"/>
            <w:szCs w:val="24"/>
          </w:rPr>
        </w:pP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PAGE   \* MERGEFORMAT</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lang w:val="zh-CN"/>
          </w:rPr>
          <w:t>-</w:t>
        </w:r>
        <w:r>
          <w:rPr>
            <w:rFonts w:asciiTheme="minorEastAsia" w:hAnsiTheme="minorEastAsia" w:eastAsiaTheme="minorEastAsia"/>
            <w:sz w:val="24"/>
            <w:szCs w:val="24"/>
          </w:rPr>
          <w:t xml:space="preserve"> 2 -</w:t>
        </w:r>
        <w:r>
          <w:rPr>
            <w:rFonts w:asciiTheme="minorEastAsia" w:hAnsiTheme="minorEastAsia" w:eastAsiaTheme="minorEastAsia"/>
            <w:sz w:val="24"/>
            <w:szCs w:val="24"/>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heme="minorEastAsia" w:hAnsiTheme="minorEastAsia" w:eastAsiaTheme="minorEastAsia"/>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-147320</wp:posOffset>
              </wp:positionV>
              <wp:extent cx="1067435" cy="2851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67435" cy="285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jc w:val="center"/>
                            <w:rPr>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- 1 -</w:t>
                          </w:r>
                          <w:r>
                            <w:rPr>
                              <w:rFonts w:hint="eastAsia"/>
                              <w:sz w:val="28"/>
                              <w:szCs w:val="28"/>
                            </w:rPr>
                            <w:fldChar w:fldCharType="end"/>
                          </w:r>
                          <w:r>
                            <w:rPr>
                              <w:rFonts w:hint="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pt;height:22.45pt;width:84.05pt;mso-position-horizontal:outside;mso-position-horizontal-relative:margin;z-index:251660288;mso-width-relative:page;mso-height-relative:page;" filled="f" stroked="f" coordsize="21600,21600" o:gfxdata="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o4OInVAAAABwEAAA8AAAAAAAAAAQAgAAAAIgAAAGRycy9kb3ducmV2LnhtbFBL&#10;AQIUABQAAAAIAIdO4kC8VEuBMgIAAFYEAAAOAAAAAAAAAAEAIAAAACQBAABkcnMvZTJvRG9jLnht&#10;bFBLBQYAAAAABgAGAFkBAADIBQAAAAA=&#10;">
              <v:fill on="f" focussize="0,0"/>
              <v:stroke on="f" weight="0.5pt"/>
              <v:imagedata o:title=""/>
              <o:lock v:ext="edit" aspectratio="f"/>
              <v:textbox inset="0mm,0mm,0mm,0mm">
                <w:txbxContent>
                  <w:p>
                    <w:pPr>
                      <w:snapToGrid w:val="0"/>
                      <w:jc w:val="center"/>
                      <w:rPr>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- 1 -</w:t>
                    </w:r>
                    <w:r>
                      <w:rPr>
                        <w:rFonts w:hint="eastAsia"/>
                        <w:sz w:val="28"/>
                        <w:szCs w:val="28"/>
                      </w:rPr>
                      <w:fldChar w:fldCharType="end"/>
                    </w:r>
                    <w:r>
                      <w:rPr>
                        <w:rFonts w:hint="eastAsia"/>
                        <w:sz w:val="28"/>
                        <w:szCs w:val="28"/>
                      </w:rPr>
                      <w:t xml:space="preserve"> —</w:t>
                    </w:r>
                  </w:p>
                </w:txbxContent>
              </v:textbox>
            </v:shape>
          </w:pict>
        </mc:Fallback>
      </mc:AlternateContent>
    </w:r>
    <w:r>
      <w:rPr>
        <w:sz w:val="24"/>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right"/>
                            <w:rPr>
                              <w:rFonts w:asciiTheme="minorEastAsia" w:hAnsiTheme="minorEastAsia" w:eastAsiaTheme="minorEastAsia"/>
                              <w:sz w:val="24"/>
                              <w:szCs w:val="24"/>
                            </w:rPr>
                          </w:pPr>
                        </w:p>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jc w:val="right"/>
                      <w:rPr>
                        <w:rFonts w:asciiTheme="minorEastAsia" w:hAnsiTheme="minorEastAsia" w:eastAsiaTheme="minorEastAsia"/>
                        <w:sz w:val="24"/>
                        <w:szCs w:val="24"/>
                      </w:rPr>
                    </w:pPr>
                  </w:p>
                  <w:p>
                    <w:pPr>
                      <w:pStyle w:val="2"/>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Theme="minorEastAsia" w:hAnsiTheme="minorEastAsia" w:eastAsiaTheme="minorEastAsia"/>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-207010</wp:posOffset>
              </wp:positionV>
              <wp:extent cx="1111250" cy="24066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11250" cy="2406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jc w:val="center"/>
                            <w:rPr>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- 2 -</w:t>
                          </w:r>
                          <w:r>
                            <w:rPr>
                              <w:rFonts w:hint="eastAsia"/>
                              <w:sz w:val="28"/>
                              <w:szCs w:val="28"/>
                            </w:rPr>
                            <w:fldChar w:fldCharType="end"/>
                          </w:r>
                          <w:r>
                            <w:rPr>
                              <w:rFonts w:hint="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16.3pt;height:18.95pt;width:87.5pt;mso-position-horizontal-relative:margin;z-index:251661312;mso-width-relative:page;mso-height-relative:page;" filled="f" stroked="f" coordsize="21600,21600" o:gfxdata="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ZBiFwdUAAAAGAQAADwAAAAAAAAABACAAAAAiAAAAZHJzL2Rvd25yZXYueG1sUEsBAhQA&#10;FAAAAAgAh07iQB0rHj0uAgAAVgQAAA4AAAAAAAAAAQAgAAAAJAEAAGRycy9lMm9Eb2MueG1sUEsF&#10;BgAAAAAGAAYAWQEAAMQFAAAAAA==&#10;">
              <v:fill on="f" focussize="0,0"/>
              <v:stroke on="f" weight="0.5pt"/>
              <v:imagedata o:title=""/>
              <o:lock v:ext="edit" aspectratio="f"/>
              <v:textbox inset="0mm,0mm,0mm,0mm">
                <w:txbxContent>
                  <w:p>
                    <w:pPr>
                      <w:snapToGrid w:val="0"/>
                      <w:jc w:val="center"/>
                      <w:rPr>
                        <w:sz w:val="28"/>
                        <w:szCs w:val="28"/>
                      </w:rPr>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- 2 -</w:t>
                    </w:r>
                    <w:r>
                      <w:rPr>
                        <w:rFonts w:hint="eastAsia"/>
                        <w:sz w:val="28"/>
                        <w:szCs w:val="28"/>
                      </w:rPr>
                      <w:fldChar w:fldCharType="end"/>
                    </w:r>
                    <w:r>
                      <w:rPr>
                        <w:rFonts w:hint="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D05625"/>
    <w:multiLevelType w:val="multilevel"/>
    <w:tmpl w:val="37D05625"/>
    <w:lvl w:ilvl="0" w:tentative="0">
      <w:start w:val="1"/>
      <w:numFmt w:val="decimalEnclosedCircle"/>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EC5EAED"/>
    <w:multiLevelType w:val="singleLevel"/>
    <w:tmpl w:val="5EC5EAED"/>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C25"/>
    <w:rsid w:val="00000512"/>
    <w:rsid w:val="000175B2"/>
    <w:rsid w:val="00027D56"/>
    <w:rsid w:val="000415D6"/>
    <w:rsid w:val="00041C25"/>
    <w:rsid w:val="000547E0"/>
    <w:rsid w:val="00065313"/>
    <w:rsid w:val="000701EC"/>
    <w:rsid w:val="00075A20"/>
    <w:rsid w:val="000A3FEF"/>
    <w:rsid w:val="000C526C"/>
    <w:rsid w:val="000C7B42"/>
    <w:rsid w:val="000D51A3"/>
    <w:rsid w:val="000F11D9"/>
    <w:rsid w:val="0011377F"/>
    <w:rsid w:val="00152348"/>
    <w:rsid w:val="00152E14"/>
    <w:rsid w:val="001739B8"/>
    <w:rsid w:val="00192B8A"/>
    <w:rsid w:val="001A7180"/>
    <w:rsid w:val="001C0975"/>
    <w:rsid w:val="001D4532"/>
    <w:rsid w:val="001D6E6D"/>
    <w:rsid w:val="001E01D7"/>
    <w:rsid w:val="001E145F"/>
    <w:rsid w:val="001F3A85"/>
    <w:rsid w:val="001F7FFB"/>
    <w:rsid w:val="00200E2E"/>
    <w:rsid w:val="002061D7"/>
    <w:rsid w:val="00232A2C"/>
    <w:rsid w:val="00240E65"/>
    <w:rsid w:val="0025309A"/>
    <w:rsid w:val="002653D8"/>
    <w:rsid w:val="0028073A"/>
    <w:rsid w:val="002849DD"/>
    <w:rsid w:val="0028753F"/>
    <w:rsid w:val="00287B13"/>
    <w:rsid w:val="002C5604"/>
    <w:rsid w:val="002C6F8B"/>
    <w:rsid w:val="002D0B52"/>
    <w:rsid w:val="002D1ECE"/>
    <w:rsid w:val="002E1B4B"/>
    <w:rsid w:val="00367C64"/>
    <w:rsid w:val="0038678E"/>
    <w:rsid w:val="003B45EE"/>
    <w:rsid w:val="003F244D"/>
    <w:rsid w:val="004644B8"/>
    <w:rsid w:val="0046643C"/>
    <w:rsid w:val="004703D7"/>
    <w:rsid w:val="00477357"/>
    <w:rsid w:val="004B4222"/>
    <w:rsid w:val="004C7CBA"/>
    <w:rsid w:val="004D12B7"/>
    <w:rsid w:val="00500B6D"/>
    <w:rsid w:val="005110EC"/>
    <w:rsid w:val="005355F6"/>
    <w:rsid w:val="00535702"/>
    <w:rsid w:val="0054766E"/>
    <w:rsid w:val="005479BC"/>
    <w:rsid w:val="00550A5D"/>
    <w:rsid w:val="005548C9"/>
    <w:rsid w:val="00562611"/>
    <w:rsid w:val="005679C8"/>
    <w:rsid w:val="0058574F"/>
    <w:rsid w:val="005A5E5B"/>
    <w:rsid w:val="005B1503"/>
    <w:rsid w:val="005C5B21"/>
    <w:rsid w:val="005E531D"/>
    <w:rsid w:val="005F189C"/>
    <w:rsid w:val="005F6692"/>
    <w:rsid w:val="00616D76"/>
    <w:rsid w:val="00625BCA"/>
    <w:rsid w:val="00635A01"/>
    <w:rsid w:val="006452A3"/>
    <w:rsid w:val="00661F2B"/>
    <w:rsid w:val="006768EE"/>
    <w:rsid w:val="006836AC"/>
    <w:rsid w:val="00686832"/>
    <w:rsid w:val="006A30A4"/>
    <w:rsid w:val="006C540D"/>
    <w:rsid w:val="006D1FCD"/>
    <w:rsid w:val="006D3C41"/>
    <w:rsid w:val="006F5689"/>
    <w:rsid w:val="006F5A90"/>
    <w:rsid w:val="00706255"/>
    <w:rsid w:val="00714354"/>
    <w:rsid w:val="007153D0"/>
    <w:rsid w:val="00726503"/>
    <w:rsid w:val="00733558"/>
    <w:rsid w:val="007474E4"/>
    <w:rsid w:val="007641C9"/>
    <w:rsid w:val="00775473"/>
    <w:rsid w:val="00794675"/>
    <w:rsid w:val="00794CC8"/>
    <w:rsid w:val="007B4933"/>
    <w:rsid w:val="007D59E9"/>
    <w:rsid w:val="007D6387"/>
    <w:rsid w:val="007E5CAE"/>
    <w:rsid w:val="007F2FAC"/>
    <w:rsid w:val="00814BFC"/>
    <w:rsid w:val="0081550A"/>
    <w:rsid w:val="00831F09"/>
    <w:rsid w:val="008706D0"/>
    <w:rsid w:val="008736D2"/>
    <w:rsid w:val="0088169A"/>
    <w:rsid w:val="00884D50"/>
    <w:rsid w:val="008864C5"/>
    <w:rsid w:val="008908A3"/>
    <w:rsid w:val="008E0EAD"/>
    <w:rsid w:val="008F2420"/>
    <w:rsid w:val="009073CE"/>
    <w:rsid w:val="00924ED8"/>
    <w:rsid w:val="00925C76"/>
    <w:rsid w:val="009467F2"/>
    <w:rsid w:val="009477F9"/>
    <w:rsid w:val="00947A26"/>
    <w:rsid w:val="0095768B"/>
    <w:rsid w:val="00972872"/>
    <w:rsid w:val="00985013"/>
    <w:rsid w:val="009B079F"/>
    <w:rsid w:val="009B5028"/>
    <w:rsid w:val="009D5B24"/>
    <w:rsid w:val="009F2A1D"/>
    <w:rsid w:val="00A1263E"/>
    <w:rsid w:val="00A43FE3"/>
    <w:rsid w:val="00A7685D"/>
    <w:rsid w:val="00A87401"/>
    <w:rsid w:val="00A9573F"/>
    <w:rsid w:val="00AB226E"/>
    <w:rsid w:val="00AB2341"/>
    <w:rsid w:val="00AB2C4E"/>
    <w:rsid w:val="00AC60CF"/>
    <w:rsid w:val="00AD03C9"/>
    <w:rsid w:val="00AE3BF8"/>
    <w:rsid w:val="00AE519C"/>
    <w:rsid w:val="00AE714F"/>
    <w:rsid w:val="00AF3349"/>
    <w:rsid w:val="00B30394"/>
    <w:rsid w:val="00B35B74"/>
    <w:rsid w:val="00B75A23"/>
    <w:rsid w:val="00B87915"/>
    <w:rsid w:val="00B90F2B"/>
    <w:rsid w:val="00BA3103"/>
    <w:rsid w:val="00BA3894"/>
    <w:rsid w:val="00BA5C69"/>
    <w:rsid w:val="00BC5FB3"/>
    <w:rsid w:val="00BC6DC6"/>
    <w:rsid w:val="00BE120D"/>
    <w:rsid w:val="00C2609A"/>
    <w:rsid w:val="00C42CFA"/>
    <w:rsid w:val="00C44DCF"/>
    <w:rsid w:val="00C60BEA"/>
    <w:rsid w:val="00C7130A"/>
    <w:rsid w:val="00C801B1"/>
    <w:rsid w:val="00C81CEA"/>
    <w:rsid w:val="00C82BEA"/>
    <w:rsid w:val="00C920C6"/>
    <w:rsid w:val="00CB48B9"/>
    <w:rsid w:val="00CD5BDB"/>
    <w:rsid w:val="00CE0FCA"/>
    <w:rsid w:val="00D22B49"/>
    <w:rsid w:val="00D24F00"/>
    <w:rsid w:val="00D41479"/>
    <w:rsid w:val="00D54B0C"/>
    <w:rsid w:val="00D7508E"/>
    <w:rsid w:val="00DA3176"/>
    <w:rsid w:val="00DA6304"/>
    <w:rsid w:val="00DC256A"/>
    <w:rsid w:val="00DC2C03"/>
    <w:rsid w:val="00E067BF"/>
    <w:rsid w:val="00E278E0"/>
    <w:rsid w:val="00E44735"/>
    <w:rsid w:val="00E50B10"/>
    <w:rsid w:val="00E832A6"/>
    <w:rsid w:val="00EA1B00"/>
    <w:rsid w:val="00EA1EE2"/>
    <w:rsid w:val="00EB6C56"/>
    <w:rsid w:val="00ED3535"/>
    <w:rsid w:val="00EE1885"/>
    <w:rsid w:val="00EE1F5D"/>
    <w:rsid w:val="00EE386A"/>
    <w:rsid w:val="00F13726"/>
    <w:rsid w:val="00F30B92"/>
    <w:rsid w:val="00F45279"/>
    <w:rsid w:val="00F5745B"/>
    <w:rsid w:val="00F57A5E"/>
    <w:rsid w:val="00F61520"/>
    <w:rsid w:val="00F81171"/>
    <w:rsid w:val="00FA3715"/>
    <w:rsid w:val="00FB11A0"/>
    <w:rsid w:val="00FB3FF7"/>
    <w:rsid w:val="00FB5BEC"/>
    <w:rsid w:val="00FC72ED"/>
    <w:rsid w:val="00FD165C"/>
    <w:rsid w:val="00FD1882"/>
    <w:rsid w:val="00FD3167"/>
    <w:rsid w:val="034B1EA7"/>
    <w:rsid w:val="07E34E7C"/>
    <w:rsid w:val="0A0B6BB6"/>
    <w:rsid w:val="0A0D64FB"/>
    <w:rsid w:val="0A0D7689"/>
    <w:rsid w:val="0AAD1E4F"/>
    <w:rsid w:val="13B309AD"/>
    <w:rsid w:val="15072305"/>
    <w:rsid w:val="15C947BB"/>
    <w:rsid w:val="164E3F75"/>
    <w:rsid w:val="180A7383"/>
    <w:rsid w:val="180C33A4"/>
    <w:rsid w:val="1E127E3B"/>
    <w:rsid w:val="1E276683"/>
    <w:rsid w:val="1F517E92"/>
    <w:rsid w:val="1F824BB1"/>
    <w:rsid w:val="20DD330C"/>
    <w:rsid w:val="222A5B78"/>
    <w:rsid w:val="23112AED"/>
    <w:rsid w:val="29ED3ECE"/>
    <w:rsid w:val="2A2B07E1"/>
    <w:rsid w:val="2A470356"/>
    <w:rsid w:val="2A996E6E"/>
    <w:rsid w:val="2D2F78C7"/>
    <w:rsid w:val="2E225616"/>
    <w:rsid w:val="2F0A5EA1"/>
    <w:rsid w:val="2F4A20B6"/>
    <w:rsid w:val="3044128B"/>
    <w:rsid w:val="337A6B39"/>
    <w:rsid w:val="354160A0"/>
    <w:rsid w:val="36150FC1"/>
    <w:rsid w:val="37A56B5D"/>
    <w:rsid w:val="39BB0797"/>
    <w:rsid w:val="39CC0A4B"/>
    <w:rsid w:val="3C8140D6"/>
    <w:rsid w:val="3DA7244E"/>
    <w:rsid w:val="3DD649B5"/>
    <w:rsid w:val="3F742E61"/>
    <w:rsid w:val="40062BE6"/>
    <w:rsid w:val="407577CC"/>
    <w:rsid w:val="423074BB"/>
    <w:rsid w:val="4A5D0306"/>
    <w:rsid w:val="4A960E99"/>
    <w:rsid w:val="4B090D47"/>
    <w:rsid w:val="4BB155C4"/>
    <w:rsid w:val="4E3F0A9D"/>
    <w:rsid w:val="4F704D10"/>
    <w:rsid w:val="50810E88"/>
    <w:rsid w:val="52A37050"/>
    <w:rsid w:val="52FC0800"/>
    <w:rsid w:val="532F3D42"/>
    <w:rsid w:val="55B1352B"/>
    <w:rsid w:val="56BD71A6"/>
    <w:rsid w:val="58693506"/>
    <w:rsid w:val="59D07BE7"/>
    <w:rsid w:val="5A0C645C"/>
    <w:rsid w:val="5AB80584"/>
    <w:rsid w:val="5AC70EF8"/>
    <w:rsid w:val="5B08348B"/>
    <w:rsid w:val="5CDA6B09"/>
    <w:rsid w:val="5D692B60"/>
    <w:rsid w:val="5E1D630B"/>
    <w:rsid w:val="5E2D1591"/>
    <w:rsid w:val="5E3C5238"/>
    <w:rsid w:val="5EDF72BD"/>
    <w:rsid w:val="5FD03018"/>
    <w:rsid w:val="60281965"/>
    <w:rsid w:val="60D20E7C"/>
    <w:rsid w:val="6381571D"/>
    <w:rsid w:val="654D6409"/>
    <w:rsid w:val="65747889"/>
    <w:rsid w:val="67B64E02"/>
    <w:rsid w:val="69345A06"/>
    <w:rsid w:val="6A5A6F2B"/>
    <w:rsid w:val="6B6E55C1"/>
    <w:rsid w:val="6B733AF3"/>
    <w:rsid w:val="6DB03516"/>
    <w:rsid w:val="74B27B04"/>
    <w:rsid w:val="74BF460D"/>
    <w:rsid w:val="75C6104C"/>
    <w:rsid w:val="77AE0E35"/>
    <w:rsid w:val="77F84B24"/>
    <w:rsid w:val="784574E9"/>
    <w:rsid w:val="798F2883"/>
    <w:rsid w:val="7A1071CE"/>
    <w:rsid w:val="7A1F4D69"/>
    <w:rsid w:val="7AE53A16"/>
    <w:rsid w:val="7AFE0B90"/>
    <w:rsid w:val="7B9A6CD5"/>
    <w:rsid w:val="7BB27D4B"/>
    <w:rsid w:val="7BC14A3E"/>
    <w:rsid w:val="7E7F116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
    <w:qFormat/>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ind w:firstLine="420"/>
      <w:jc w:val="left"/>
    </w:pPr>
    <w:rPr>
      <w:kern w:val="1"/>
      <w:sz w:val="20"/>
    </w:rPr>
  </w:style>
  <w:style w:type="paragraph" w:styleId="4">
    <w:name w:val="Balloon Text"/>
    <w:basedOn w:val="1"/>
    <w:link w:val="14"/>
    <w:semiHidden/>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qFormat/>
    <w:locked/>
    <w:uiPriority w:val="0"/>
    <w:pPr>
      <w:ind w:left="420" w:leftChars="200"/>
    </w:p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0">
    <w:name w:val="Table Grid"/>
    <w:basedOn w:val="9"/>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99"/>
    <w:rPr>
      <w:rFonts w:cs="Times New Roman"/>
      <w:b/>
      <w:bCs/>
    </w:rPr>
  </w:style>
  <w:style w:type="character" w:customStyle="1" w:styleId="13">
    <w:name w:val="标题 1 字符"/>
    <w:basedOn w:val="11"/>
    <w:link w:val="3"/>
    <w:qFormat/>
    <w:locked/>
    <w:uiPriority w:val="99"/>
    <w:rPr>
      <w:rFonts w:ascii="宋体" w:hAnsi="宋体" w:eastAsia="宋体" w:cs="宋体"/>
      <w:b/>
      <w:bCs/>
      <w:kern w:val="36"/>
      <w:sz w:val="48"/>
      <w:szCs w:val="48"/>
    </w:rPr>
  </w:style>
  <w:style w:type="character" w:customStyle="1" w:styleId="14">
    <w:name w:val="批注框文本 字符"/>
    <w:basedOn w:val="11"/>
    <w:link w:val="4"/>
    <w:semiHidden/>
    <w:qFormat/>
    <w:locked/>
    <w:uiPriority w:val="99"/>
    <w:rPr>
      <w:rFonts w:ascii="Times New Roman" w:hAnsi="Times New Roman" w:cs="Times New Roman"/>
      <w:sz w:val="2"/>
    </w:rPr>
  </w:style>
  <w:style w:type="character" w:customStyle="1" w:styleId="15">
    <w:name w:val="页眉 字符"/>
    <w:basedOn w:val="11"/>
    <w:link w:val="6"/>
    <w:qFormat/>
    <w:uiPriority w:val="99"/>
    <w:rPr>
      <w:rFonts w:ascii="Times New Roman" w:hAnsi="Times New Roman"/>
      <w:kern w:val="2"/>
      <w:sz w:val="18"/>
      <w:szCs w:val="18"/>
    </w:rPr>
  </w:style>
  <w:style w:type="character" w:customStyle="1" w:styleId="16">
    <w:name w:val="页脚 字符"/>
    <w:basedOn w:val="11"/>
    <w:link w:val="5"/>
    <w:qFormat/>
    <w:uiPriority w:val="99"/>
    <w:rPr>
      <w:rFonts w:ascii="Times New Roman" w:hAnsi="Times New Roman"/>
      <w:kern w:val="2"/>
      <w:sz w:val="18"/>
      <w:szCs w:val="18"/>
    </w:rPr>
  </w:style>
  <w:style w:type="paragraph" w:customStyle="1" w:styleId="17">
    <w:name w:val="z正文"/>
    <w:basedOn w:val="1"/>
    <w:qFormat/>
    <w:uiPriority w:val="0"/>
    <w:pPr>
      <w:spacing w:line="560" w:lineRule="exact"/>
      <w:ind w:firstLine="632" w:firstLineChars="200"/>
    </w:pPr>
    <w:rPr>
      <w:rFonts w:ascii="仿宋_GB2312" w:eastAsia="仿宋" w:hAnsiTheme="minorHAnsi" w:cstheme="minorBidi"/>
      <w:sz w:val="32"/>
      <w:szCs w:val="22"/>
    </w:rPr>
  </w:style>
  <w:style w:type="paragraph" w:customStyle="1" w:styleId="18">
    <w:name w:val="列表段落1"/>
    <w:basedOn w:val="1"/>
    <w:unhideWhenUsed/>
    <w:qFormat/>
    <w:uiPriority w:val="99"/>
    <w:pPr>
      <w:ind w:firstLine="420" w:firstLineChars="200"/>
    </w:pPr>
  </w:style>
  <w:style w:type="paragraph" w:styleId="19">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439</Words>
  <Characters>2507</Characters>
  <Lines>20</Lines>
  <Paragraphs>5</Paragraphs>
  <TotalTime>638</TotalTime>
  <ScaleCrop>false</ScaleCrop>
  <LinksUpToDate>false</LinksUpToDate>
  <CharactersWithSpaces>2941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2020-02-18T00:25:00Z</dcterms:created>
  <dc:creator>wangxinqiang</dc:creator>
  <cp:lastModifiedBy>黄河</cp:lastModifiedBy>
  <cp:lastPrinted>2017-02-09T03:44:00Z</cp:lastPrinted>
  <dcterms:modified xsi:type="dcterms:W3CDTF">2021-01-04T07:13:22Z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