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关于施工范围及相关报价的说明：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施工范围说明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道路工程计算范围：</w:t>
      </w:r>
    </w:p>
    <w:p>
      <w:pPr>
        <w:numPr>
          <w:ilvl w:val="0"/>
          <w:numId w:val="0"/>
        </w:numPr>
        <w:ind w:left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1）、2#厂房西、北面及厂区出入口大门1道路，总长度约290M；2）、宿舍楼及办公楼四周场地硬化；</w:t>
      </w:r>
    </w:p>
    <w:p>
      <w:p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2、排水工程计算范围：</w:t>
      </w:r>
    </w:p>
    <w:p>
      <w:pPr>
        <w:ind w:left="0" w:leftChars="0" w:firstLine="420" w:firstLineChars="1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1）、2#厂房西面Y24-Y30主、支管线，检查井及雨水篦子；</w:t>
      </w:r>
    </w:p>
    <w:p>
      <w:pPr>
        <w:ind w:left="0" w:leftChars="0" w:firstLine="420" w:firstLineChars="15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2）、2#厂房西、北面Y30-Y33范围的雨水篦子及连接支管；</w:t>
      </w:r>
    </w:p>
    <w:p>
      <w:p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3、围墙及大门工程计算范围：1#厂房、2#厂房、宿舍楼、办公楼的北、西、南三面围墙；厂区出入口1大门；</w:t>
      </w:r>
    </w:p>
    <w:p>
      <w:p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4、绿化工程：1#、2#厂房西侧沿路绿化，2# 厂房四周绿化，办公楼、宿舍楼及南面大门的绿化。养护期12个月</w:t>
      </w:r>
    </w:p>
    <w:p>
      <w:pPr>
        <w:ind w:left="291" w:leftChars="0" w:hanging="291" w:hangingChars="104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二、围墙式样按照设计图纸施工，但是围墙墙面取消贴瓷砖做法，采用防水腻子两道并磨光，刷底漆一遍、乳胶漆两遍。</w:t>
      </w:r>
    </w:p>
    <w:p>
      <w:pPr>
        <w:ind w:left="291" w:leftChars="0" w:hanging="291" w:hangingChars="104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三、围墙的铁艺用业主原来剩下的材料，不含在报价内。</w:t>
      </w:r>
    </w:p>
    <w:p>
      <w:pPr>
        <w:ind w:left="291" w:leftChars="0" w:hanging="291" w:hangingChars="104"/>
        <w:rPr>
          <w:rFonts w:hint="eastAsia"/>
          <w:sz w:val="28"/>
          <w:szCs w:val="28"/>
          <w:lang w:val="en-US" w:eastAsia="zh-CN"/>
        </w:rPr>
      </w:pPr>
    </w:p>
    <w:p>
      <w:pPr>
        <w:ind w:left="291" w:leftChars="0" w:hanging="291" w:hangingChars="104"/>
        <w:rPr>
          <w:rFonts w:hint="eastAsia"/>
          <w:sz w:val="28"/>
          <w:szCs w:val="28"/>
          <w:lang w:val="en-US" w:eastAsia="zh-CN"/>
        </w:rPr>
      </w:pPr>
    </w:p>
    <w:p>
      <w:pPr>
        <w:ind w:left="290" w:leftChars="138" w:firstLine="3908" w:firstLineChars="1396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广林欧卡罗（广西）家居有限公司</w:t>
      </w:r>
    </w:p>
    <w:p>
      <w:pPr>
        <w:ind w:left="290" w:leftChars="138" w:firstLine="3908" w:firstLineChars="1396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2022年1月6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思源宋体 Medium">
    <w:altName w:val="宋体"/>
    <w:panose1 w:val="00000000000000000000"/>
    <w:charset w:val="86"/>
    <w:family w:val="roman"/>
    <w:pitch w:val="default"/>
    <w:sig w:usb0="00000000" w:usb1="00000000" w:usb2="00000016" w:usb3="00000000" w:csb0="602E0107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8C2"/>
    <w:multiLevelType w:val="singleLevel"/>
    <w:tmpl w:val="35A118C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036F92A"/>
    <w:multiLevelType w:val="singleLevel"/>
    <w:tmpl w:val="4036F9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054EB"/>
    <w:rsid w:val="3BD054EB"/>
    <w:rsid w:val="544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2022-01-05T02:26:00Z</dcterms:created>
  <dc:creator>qjz</dc:creator>
  <cp:lastModifiedBy>黄超（企管）</cp:lastModifiedBy>
  <dcterms:modified xsi:type="dcterms:W3CDTF">2022-01-05T07:42:56Z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5EB81DCA47DF4D11A12C19FDFE152D2E</vt:lpwstr>
  </property>
</Properties>
</file>